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993" w:rsidRDefault="006B0993" w:rsidP="006B0993">
      <w:pPr>
        <w:spacing w:after="0" w:line="240" w:lineRule="auto"/>
        <w:jc w:val="both"/>
      </w:pPr>
      <w:bookmarkStart w:id="0" w:name="_GoBack"/>
      <w:bookmarkEnd w:id="0"/>
      <w:r>
        <w:t>Τα υπόλοιπα των λογαριασμών της επιχείρησης «ΑΛΦΑ Α.Ε.» την 1/1/2015 είχαν ως ακολούθως:</w:t>
      </w:r>
    </w:p>
    <w:tbl>
      <w:tblPr>
        <w:tblStyle w:val="TableGrid"/>
        <w:tblW w:w="9493" w:type="dxa"/>
        <w:jc w:val="center"/>
        <w:tblInd w:w="-459" w:type="dxa"/>
        <w:tblLook w:val="04A0" w:firstRow="1" w:lastRow="0" w:firstColumn="1" w:lastColumn="0" w:noHBand="0" w:noVBand="1"/>
      </w:tblPr>
      <w:tblGrid>
        <w:gridCol w:w="3686"/>
        <w:gridCol w:w="1097"/>
        <w:gridCol w:w="3581"/>
        <w:gridCol w:w="1129"/>
      </w:tblGrid>
      <w:tr w:rsidR="006B0993" w:rsidTr="0083713F">
        <w:trPr>
          <w:jc w:val="center"/>
        </w:trPr>
        <w:tc>
          <w:tcPr>
            <w:tcW w:w="3686" w:type="dxa"/>
          </w:tcPr>
          <w:p w:rsidR="006B0993" w:rsidRDefault="006B0993" w:rsidP="0083713F">
            <w:r>
              <w:t>Αυτοκίνητα</w:t>
            </w:r>
          </w:p>
        </w:tc>
        <w:tc>
          <w:tcPr>
            <w:tcW w:w="1097" w:type="dxa"/>
            <w:vAlign w:val="bottom"/>
          </w:tcPr>
          <w:p w:rsidR="006B0993" w:rsidRDefault="006B0993" w:rsidP="0083713F">
            <w:pPr>
              <w:jc w:val="right"/>
              <w:rPr>
                <w:rFonts w:ascii="Calibri" w:hAnsi="Calibri"/>
                <w:color w:val="000000"/>
              </w:rPr>
            </w:pPr>
            <w:r>
              <w:rPr>
                <w:rFonts w:ascii="Calibri" w:hAnsi="Calibri"/>
                <w:color w:val="000000"/>
              </w:rPr>
              <w:t>63.623 €</w:t>
            </w:r>
          </w:p>
        </w:tc>
        <w:tc>
          <w:tcPr>
            <w:tcW w:w="3581" w:type="dxa"/>
          </w:tcPr>
          <w:p w:rsidR="006B0993" w:rsidRDefault="006B0993" w:rsidP="0083713F">
            <w:r>
              <w:t>Ίδια κεφάλαια</w:t>
            </w:r>
          </w:p>
        </w:tc>
        <w:tc>
          <w:tcPr>
            <w:tcW w:w="1129" w:type="dxa"/>
          </w:tcPr>
          <w:p w:rsidR="006B0993" w:rsidRDefault="006B0993" w:rsidP="0083713F">
            <w:pPr>
              <w:jc w:val="right"/>
            </w:pPr>
            <w:r>
              <w:t>???</w:t>
            </w:r>
          </w:p>
        </w:tc>
      </w:tr>
      <w:tr w:rsidR="006B0993" w:rsidTr="0083713F">
        <w:trPr>
          <w:jc w:val="center"/>
        </w:trPr>
        <w:tc>
          <w:tcPr>
            <w:tcW w:w="3686" w:type="dxa"/>
          </w:tcPr>
          <w:p w:rsidR="006B0993" w:rsidRDefault="006B0993" w:rsidP="0083713F">
            <w:r>
              <w:t>Αμοιβές προσωπ. πληρωτέες</w:t>
            </w:r>
          </w:p>
        </w:tc>
        <w:tc>
          <w:tcPr>
            <w:tcW w:w="1097" w:type="dxa"/>
            <w:vAlign w:val="bottom"/>
          </w:tcPr>
          <w:p w:rsidR="006B0993" w:rsidRDefault="006B0993" w:rsidP="0083713F">
            <w:pPr>
              <w:jc w:val="right"/>
              <w:rPr>
                <w:rFonts w:ascii="Calibri" w:hAnsi="Calibri"/>
                <w:color w:val="000000"/>
              </w:rPr>
            </w:pPr>
            <w:r>
              <w:rPr>
                <w:rFonts w:ascii="Calibri" w:hAnsi="Calibri"/>
                <w:color w:val="000000"/>
              </w:rPr>
              <w:t>6.514 €</w:t>
            </w:r>
          </w:p>
        </w:tc>
        <w:tc>
          <w:tcPr>
            <w:tcW w:w="3581" w:type="dxa"/>
          </w:tcPr>
          <w:p w:rsidR="006B0993" w:rsidRDefault="006B0993" w:rsidP="0083713F">
            <w:r>
              <w:t>Καταθέσεις όψεως</w:t>
            </w:r>
          </w:p>
        </w:tc>
        <w:tc>
          <w:tcPr>
            <w:tcW w:w="1129" w:type="dxa"/>
            <w:vAlign w:val="bottom"/>
          </w:tcPr>
          <w:p w:rsidR="006B0993" w:rsidRDefault="006B0993" w:rsidP="0083713F">
            <w:pPr>
              <w:jc w:val="right"/>
              <w:rPr>
                <w:rFonts w:ascii="Calibri" w:hAnsi="Calibri"/>
                <w:color w:val="000000"/>
              </w:rPr>
            </w:pPr>
            <w:r>
              <w:rPr>
                <w:rFonts w:ascii="Calibri" w:hAnsi="Calibri"/>
                <w:color w:val="000000"/>
              </w:rPr>
              <w:t>20.387 €</w:t>
            </w:r>
          </w:p>
        </w:tc>
      </w:tr>
      <w:tr w:rsidR="006B0993" w:rsidTr="0083713F">
        <w:trPr>
          <w:jc w:val="center"/>
        </w:trPr>
        <w:tc>
          <w:tcPr>
            <w:tcW w:w="3686" w:type="dxa"/>
          </w:tcPr>
          <w:p w:rsidR="006B0993" w:rsidRDefault="006B0993" w:rsidP="0083713F">
            <w:r>
              <w:t>Έπιπλα και Σκεύη</w:t>
            </w:r>
          </w:p>
        </w:tc>
        <w:tc>
          <w:tcPr>
            <w:tcW w:w="1097" w:type="dxa"/>
            <w:vAlign w:val="bottom"/>
          </w:tcPr>
          <w:p w:rsidR="006B0993" w:rsidRDefault="006B0993" w:rsidP="0083713F">
            <w:pPr>
              <w:jc w:val="right"/>
              <w:rPr>
                <w:rFonts w:ascii="Calibri" w:hAnsi="Calibri"/>
                <w:color w:val="000000"/>
              </w:rPr>
            </w:pPr>
            <w:r>
              <w:rPr>
                <w:rFonts w:ascii="Calibri" w:hAnsi="Calibri"/>
                <w:color w:val="000000"/>
              </w:rPr>
              <w:t>73.682 €</w:t>
            </w:r>
          </w:p>
        </w:tc>
        <w:tc>
          <w:tcPr>
            <w:tcW w:w="3581" w:type="dxa"/>
          </w:tcPr>
          <w:p w:rsidR="006B0993" w:rsidRDefault="006B0993" w:rsidP="0083713F">
            <w:r>
              <w:t xml:space="preserve">Δάνειο με ενέχυρο </w:t>
            </w:r>
            <w:proofErr w:type="spellStart"/>
            <w:r>
              <w:t>εμπ</w:t>
            </w:r>
            <w:proofErr w:type="spellEnd"/>
            <w:r>
              <w:t>/τα</w:t>
            </w:r>
          </w:p>
        </w:tc>
        <w:tc>
          <w:tcPr>
            <w:tcW w:w="1129" w:type="dxa"/>
            <w:vAlign w:val="bottom"/>
          </w:tcPr>
          <w:p w:rsidR="006B0993" w:rsidRDefault="006B0993" w:rsidP="0083713F">
            <w:pPr>
              <w:jc w:val="right"/>
              <w:rPr>
                <w:rFonts w:ascii="Calibri" w:hAnsi="Calibri"/>
                <w:color w:val="000000"/>
              </w:rPr>
            </w:pPr>
            <w:r>
              <w:rPr>
                <w:rFonts w:ascii="Calibri" w:hAnsi="Calibri"/>
                <w:color w:val="000000"/>
              </w:rPr>
              <w:t>54.887 €</w:t>
            </w:r>
          </w:p>
        </w:tc>
      </w:tr>
      <w:tr w:rsidR="006B0993" w:rsidTr="0083713F">
        <w:trPr>
          <w:jc w:val="center"/>
        </w:trPr>
        <w:tc>
          <w:tcPr>
            <w:tcW w:w="3686" w:type="dxa"/>
          </w:tcPr>
          <w:p w:rsidR="006B0993" w:rsidRDefault="006B0993" w:rsidP="0083713F">
            <w:r>
              <w:t>Πελάτες</w:t>
            </w:r>
          </w:p>
        </w:tc>
        <w:tc>
          <w:tcPr>
            <w:tcW w:w="1097" w:type="dxa"/>
            <w:vAlign w:val="bottom"/>
          </w:tcPr>
          <w:p w:rsidR="006B0993" w:rsidRDefault="006B0993" w:rsidP="0083713F">
            <w:pPr>
              <w:jc w:val="right"/>
              <w:rPr>
                <w:rFonts w:ascii="Calibri" w:hAnsi="Calibri"/>
                <w:color w:val="000000"/>
              </w:rPr>
            </w:pPr>
            <w:r>
              <w:rPr>
                <w:rFonts w:ascii="Calibri" w:hAnsi="Calibri"/>
                <w:color w:val="000000"/>
              </w:rPr>
              <w:t>20.140 €</w:t>
            </w:r>
          </w:p>
        </w:tc>
        <w:tc>
          <w:tcPr>
            <w:tcW w:w="3581" w:type="dxa"/>
          </w:tcPr>
          <w:p w:rsidR="006B0993" w:rsidRDefault="006B0993" w:rsidP="0083713F">
            <w:r>
              <w:t>Γραμμ. πληρωτέα</w:t>
            </w:r>
          </w:p>
        </w:tc>
        <w:tc>
          <w:tcPr>
            <w:tcW w:w="1129" w:type="dxa"/>
            <w:vAlign w:val="bottom"/>
          </w:tcPr>
          <w:p w:rsidR="006B0993" w:rsidRDefault="006B0993" w:rsidP="0083713F">
            <w:pPr>
              <w:jc w:val="right"/>
              <w:rPr>
                <w:rFonts w:ascii="Calibri" w:hAnsi="Calibri"/>
                <w:color w:val="000000"/>
              </w:rPr>
            </w:pPr>
            <w:r>
              <w:rPr>
                <w:rFonts w:ascii="Calibri" w:hAnsi="Calibri"/>
                <w:color w:val="000000"/>
              </w:rPr>
              <w:t>13.359 €</w:t>
            </w:r>
          </w:p>
        </w:tc>
      </w:tr>
      <w:tr w:rsidR="006B0993" w:rsidTr="0083713F">
        <w:trPr>
          <w:jc w:val="center"/>
        </w:trPr>
        <w:tc>
          <w:tcPr>
            <w:tcW w:w="3686" w:type="dxa"/>
          </w:tcPr>
          <w:p w:rsidR="006B0993" w:rsidRDefault="006B0993" w:rsidP="0083713F">
            <w:r>
              <w:t xml:space="preserve">Εμπορεύματα </w:t>
            </w:r>
            <w:proofErr w:type="spellStart"/>
            <w:r>
              <w:t>ενεχεριασμ</w:t>
            </w:r>
            <w:proofErr w:type="spellEnd"/>
            <w:r>
              <w:t>.</w:t>
            </w:r>
          </w:p>
        </w:tc>
        <w:tc>
          <w:tcPr>
            <w:tcW w:w="1097" w:type="dxa"/>
            <w:vAlign w:val="bottom"/>
          </w:tcPr>
          <w:p w:rsidR="006B0993" w:rsidRDefault="006B0993" w:rsidP="0083713F">
            <w:pPr>
              <w:jc w:val="right"/>
              <w:rPr>
                <w:rFonts w:ascii="Calibri" w:hAnsi="Calibri"/>
                <w:color w:val="000000"/>
              </w:rPr>
            </w:pPr>
            <w:r>
              <w:rPr>
                <w:rFonts w:ascii="Calibri" w:hAnsi="Calibri"/>
                <w:color w:val="000000"/>
              </w:rPr>
              <w:t>18.633 €</w:t>
            </w:r>
          </w:p>
        </w:tc>
        <w:tc>
          <w:tcPr>
            <w:tcW w:w="3581" w:type="dxa"/>
          </w:tcPr>
          <w:p w:rsidR="006B0993" w:rsidRDefault="006B0993" w:rsidP="0083713F">
            <w:r>
              <w:t xml:space="preserve">Γραμμ. </w:t>
            </w:r>
            <w:proofErr w:type="spellStart"/>
            <w:r>
              <w:t>ειπρακτ</w:t>
            </w:r>
            <w:proofErr w:type="spellEnd"/>
            <w:r>
              <w:t xml:space="preserve">. </w:t>
            </w:r>
            <w:proofErr w:type="spellStart"/>
            <w:r>
              <w:t>προεξοφληθέντα</w:t>
            </w:r>
            <w:proofErr w:type="spellEnd"/>
          </w:p>
        </w:tc>
        <w:tc>
          <w:tcPr>
            <w:tcW w:w="1129" w:type="dxa"/>
            <w:vAlign w:val="bottom"/>
          </w:tcPr>
          <w:p w:rsidR="006B0993" w:rsidRDefault="006B0993" w:rsidP="0083713F">
            <w:pPr>
              <w:jc w:val="right"/>
              <w:rPr>
                <w:rFonts w:ascii="Calibri" w:hAnsi="Calibri"/>
                <w:color w:val="000000"/>
              </w:rPr>
            </w:pPr>
            <w:r>
              <w:rPr>
                <w:rFonts w:ascii="Calibri" w:hAnsi="Calibri"/>
                <w:color w:val="000000"/>
              </w:rPr>
              <w:t>13.179 €</w:t>
            </w:r>
          </w:p>
        </w:tc>
      </w:tr>
      <w:tr w:rsidR="006B0993" w:rsidTr="0083713F">
        <w:trPr>
          <w:jc w:val="center"/>
        </w:trPr>
        <w:tc>
          <w:tcPr>
            <w:tcW w:w="3686" w:type="dxa"/>
          </w:tcPr>
          <w:p w:rsidR="006B0993" w:rsidRDefault="006B0993" w:rsidP="0083713F">
            <w:r>
              <w:t>Γραφική ύλη</w:t>
            </w:r>
          </w:p>
        </w:tc>
        <w:tc>
          <w:tcPr>
            <w:tcW w:w="1097" w:type="dxa"/>
            <w:vAlign w:val="bottom"/>
          </w:tcPr>
          <w:p w:rsidR="006B0993" w:rsidRDefault="006B0993" w:rsidP="0083713F">
            <w:pPr>
              <w:jc w:val="right"/>
              <w:rPr>
                <w:rFonts w:ascii="Calibri" w:hAnsi="Calibri"/>
                <w:color w:val="000000"/>
              </w:rPr>
            </w:pPr>
            <w:r>
              <w:rPr>
                <w:rFonts w:ascii="Calibri" w:hAnsi="Calibri"/>
                <w:color w:val="000000"/>
              </w:rPr>
              <w:t>5.446 €</w:t>
            </w:r>
          </w:p>
        </w:tc>
        <w:tc>
          <w:tcPr>
            <w:tcW w:w="3581" w:type="dxa"/>
          </w:tcPr>
          <w:p w:rsidR="006B0993" w:rsidRDefault="006B0993" w:rsidP="0083713F">
            <w:r>
              <w:t>Προμηθευτές</w:t>
            </w:r>
          </w:p>
        </w:tc>
        <w:tc>
          <w:tcPr>
            <w:tcW w:w="1129" w:type="dxa"/>
            <w:vAlign w:val="bottom"/>
          </w:tcPr>
          <w:p w:rsidR="006B0993" w:rsidRDefault="006B0993" w:rsidP="0083713F">
            <w:pPr>
              <w:jc w:val="right"/>
              <w:rPr>
                <w:rFonts w:ascii="Calibri" w:hAnsi="Calibri"/>
                <w:color w:val="000000"/>
              </w:rPr>
            </w:pPr>
            <w:r>
              <w:rPr>
                <w:rFonts w:ascii="Calibri" w:hAnsi="Calibri"/>
                <w:color w:val="000000"/>
              </w:rPr>
              <w:t>9.175 €</w:t>
            </w:r>
          </w:p>
        </w:tc>
      </w:tr>
      <w:tr w:rsidR="006B0993" w:rsidTr="0083713F">
        <w:trPr>
          <w:jc w:val="center"/>
        </w:trPr>
        <w:tc>
          <w:tcPr>
            <w:tcW w:w="3686" w:type="dxa"/>
          </w:tcPr>
          <w:p w:rsidR="006B0993" w:rsidRDefault="006B0993" w:rsidP="0083713F">
            <w:r>
              <w:t xml:space="preserve">Αναλώσιμα </w:t>
            </w:r>
            <w:proofErr w:type="spellStart"/>
            <w:r>
              <w:t>μηχαν</w:t>
            </w:r>
            <w:proofErr w:type="spellEnd"/>
            <w:r>
              <w:t xml:space="preserve">. εξοπλισμού </w:t>
            </w:r>
          </w:p>
        </w:tc>
        <w:tc>
          <w:tcPr>
            <w:tcW w:w="1097" w:type="dxa"/>
            <w:vAlign w:val="bottom"/>
          </w:tcPr>
          <w:p w:rsidR="006B0993" w:rsidRDefault="006B0993" w:rsidP="0083713F">
            <w:pPr>
              <w:jc w:val="right"/>
              <w:rPr>
                <w:rFonts w:ascii="Calibri" w:hAnsi="Calibri"/>
                <w:color w:val="000000"/>
              </w:rPr>
            </w:pPr>
            <w:r>
              <w:rPr>
                <w:rFonts w:ascii="Calibri" w:hAnsi="Calibri"/>
                <w:color w:val="000000"/>
              </w:rPr>
              <w:t>19.424 €</w:t>
            </w:r>
          </w:p>
        </w:tc>
        <w:tc>
          <w:tcPr>
            <w:tcW w:w="3581" w:type="dxa"/>
          </w:tcPr>
          <w:p w:rsidR="006B0993" w:rsidRDefault="006B0993" w:rsidP="0083713F">
            <w:r>
              <w:t>Τόκοι πληρωτέοι</w:t>
            </w:r>
          </w:p>
        </w:tc>
        <w:tc>
          <w:tcPr>
            <w:tcW w:w="1129" w:type="dxa"/>
            <w:vAlign w:val="bottom"/>
          </w:tcPr>
          <w:p w:rsidR="006B0993" w:rsidRDefault="006B0993" w:rsidP="0083713F">
            <w:pPr>
              <w:jc w:val="right"/>
              <w:rPr>
                <w:rFonts w:ascii="Calibri" w:hAnsi="Calibri"/>
                <w:color w:val="000000"/>
              </w:rPr>
            </w:pPr>
            <w:r>
              <w:rPr>
                <w:rFonts w:ascii="Calibri" w:hAnsi="Calibri"/>
                <w:color w:val="000000"/>
              </w:rPr>
              <w:t>24.802 €</w:t>
            </w:r>
          </w:p>
        </w:tc>
      </w:tr>
      <w:tr w:rsidR="006B0993" w:rsidTr="0083713F">
        <w:trPr>
          <w:jc w:val="center"/>
        </w:trPr>
        <w:tc>
          <w:tcPr>
            <w:tcW w:w="3686" w:type="dxa"/>
          </w:tcPr>
          <w:p w:rsidR="006B0993" w:rsidRDefault="006B0993" w:rsidP="0083713F">
            <w:r>
              <w:t xml:space="preserve">Κρατήσεις &amp; εργοδοτικές </w:t>
            </w:r>
            <w:proofErr w:type="spellStart"/>
            <w:r>
              <w:t>εισφ</w:t>
            </w:r>
            <w:proofErr w:type="spellEnd"/>
            <w:r>
              <w:t xml:space="preserve">. </w:t>
            </w:r>
            <w:proofErr w:type="spellStart"/>
            <w:r>
              <w:t>πληρ</w:t>
            </w:r>
            <w:proofErr w:type="spellEnd"/>
            <w:r>
              <w:t>.</w:t>
            </w:r>
          </w:p>
        </w:tc>
        <w:tc>
          <w:tcPr>
            <w:tcW w:w="1097" w:type="dxa"/>
            <w:vAlign w:val="bottom"/>
          </w:tcPr>
          <w:p w:rsidR="006B0993" w:rsidRDefault="006B0993" w:rsidP="0083713F">
            <w:pPr>
              <w:jc w:val="right"/>
              <w:rPr>
                <w:rFonts w:ascii="Calibri" w:hAnsi="Calibri"/>
                <w:color w:val="000000"/>
              </w:rPr>
            </w:pPr>
            <w:r>
              <w:rPr>
                <w:rFonts w:ascii="Calibri" w:hAnsi="Calibri"/>
                <w:color w:val="000000"/>
              </w:rPr>
              <w:t>16.860 €</w:t>
            </w:r>
          </w:p>
        </w:tc>
        <w:tc>
          <w:tcPr>
            <w:tcW w:w="3581" w:type="dxa"/>
          </w:tcPr>
          <w:p w:rsidR="006B0993" w:rsidRDefault="006B0993" w:rsidP="0083713F">
            <w:r>
              <w:t>Γραμμ. εισπρακτέα</w:t>
            </w:r>
          </w:p>
        </w:tc>
        <w:tc>
          <w:tcPr>
            <w:tcW w:w="1129" w:type="dxa"/>
            <w:vAlign w:val="bottom"/>
          </w:tcPr>
          <w:p w:rsidR="006B0993" w:rsidRDefault="006B0993" w:rsidP="0083713F">
            <w:pPr>
              <w:jc w:val="right"/>
              <w:rPr>
                <w:rFonts w:ascii="Calibri" w:hAnsi="Calibri"/>
                <w:color w:val="000000"/>
              </w:rPr>
            </w:pPr>
            <w:r>
              <w:rPr>
                <w:rFonts w:ascii="Calibri" w:hAnsi="Calibri"/>
                <w:color w:val="000000"/>
              </w:rPr>
              <w:t>5.376 €</w:t>
            </w:r>
          </w:p>
        </w:tc>
      </w:tr>
      <w:tr w:rsidR="006B0993" w:rsidTr="0083713F">
        <w:trPr>
          <w:jc w:val="center"/>
        </w:trPr>
        <w:tc>
          <w:tcPr>
            <w:tcW w:w="3686" w:type="dxa"/>
          </w:tcPr>
          <w:p w:rsidR="006B0993" w:rsidRDefault="006B0993" w:rsidP="0083713F">
            <w:r>
              <w:t>Μακροπρόθεσμο δάνειο τραπέζης</w:t>
            </w:r>
          </w:p>
        </w:tc>
        <w:tc>
          <w:tcPr>
            <w:tcW w:w="1097" w:type="dxa"/>
            <w:vAlign w:val="bottom"/>
          </w:tcPr>
          <w:p w:rsidR="006B0993" w:rsidRDefault="006B0993" w:rsidP="0083713F">
            <w:pPr>
              <w:jc w:val="right"/>
              <w:rPr>
                <w:rFonts w:ascii="Calibri" w:hAnsi="Calibri"/>
                <w:color w:val="000000"/>
              </w:rPr>
            </w:pPr>
            <w:r>
              <w:rPr>
                <w:rFonts w:ascii="Calibri" w:hAnsi="Calibri"/>
                <w:color w:val="000000"/>
              </w:rPr>
              <w:t>81.306 €</w:t>
            </w:r>
          </w:p>
        </w:tc>
        <w:tc>
          <w:tcPr>
            <w:tcW w:w="3581" w:type="dxa"/>
          </w:tcPr>
          <w:p w:rsidR="006B0993" w:rsidRDefault="006B0993" w:rsidP="0083713F">
            <w:r>
              <w:t>Εμπορεύματα</w:t>
            </w:r>
          </w:p>
        </w:tc>
        <w:tc>
          <w:tcPr>
            <w:tcW w:w="1129" w:type="dxa"/>
            <w:vAlign w:val="bottom"/>
          </w:tcPr>
          <w:p w:rsidR="006B0993" w:rsidRDefault="006B0993" w:rsidP="0083713F">
            <w:pPr>
              <w:jc w:val="right"/>
              <w:rPr>
                <w:rFonts w:ascii="Calibri" w:hAnsi="Calibri"/>
                <w:color w:val="000000"/>
              </w:rPr>
            </w:pPr>
            <w:r>
              <w:rPr>
                <w:rFonts w:ascii="Calibri" w:hAnsi="Calibri"/>
                <w:color w:val="000000"/>
              </w:rPr>
              <w:t>45.397 €</w:t>
            </w:r>
          </w:p>
        </w:tc>
      </w:tr>
      <w:tr w:rsidR="006B0993" w:rsidTr="0083713F">
        <w:trPr>
          <w:jc w:val="center"/>
        </w:trPr>
        <w:tc>
          <w:tcPr>
            <w:tcW w:w="3686" w:type="dxa"/>
          </w:tcPr>
          <w:p w:rsidR="006B0993" w:rsidRDefault="006B0993" w:rsidP="0083713F">
            <w:proofErr w:type="spellStart"/>
            <w:r>
              <w:t>Προπληρωθέντα</w:t>
            </w:r>
            <w:proofErr w:type="spellEnd"/>
            <w:r>
              <w:t xml:space="preserve"> ασφάλιστρα</w:t>
            </w:r>
          </w:p>
        </w:tc>
        <w:tc>
          <w:tcPr>
            <w:tcW w:w="1097" w:type="dxa"/>
            <w:vAlign w:val="bottom"/>
          </w:tcPr>
          <w:p w:rsidR="006B0993" w:rsidRDefault="006B0993" w:rsidP="0083713F">
            <w:pPr>
              <w:jc w:val="right"/>
              <w:rPr>
                <w:rFonts w:ascii="Calibri" w:hAnsi="Calibri"/>
                <w:color w:val="000000"/>
              </w:rPr>
            </w:pPr>
            <w:r>
              <w:rPr>
                <w:rFonts w:ascii="Calibri" w:hAnsi="Calibri"/>
                <w:color w:val="000000"/>
              </w:rPr>
              <w:t>4.834 €</w:t>
            </w:r>
          </w:p>
        </w:tc>
        <w:tc>
          <w:tcPr>
            <w:tcW w:w="3581" w:type="dxa"/>
          </w:tcPr>
          <w:p w:rsidR="006B0993" w:rsidRDefault="006B0993" w:rsidP="0083713F">
            <w:r>
              <w:t>Προκαταβολές πελατών</w:t>
            </w:r>
          </w:p>
        </w:tc>
        <w:tc>
          <w:tcPr>
            <w:tcW w:w="1129" w:type="dxa"/>
            <w:vAlign w:val="bottom"/>
          </w:tcPr>
          <w:p w:rsidR="006B0993" w:rsidRDefault="006B0993" w:rsidP="0083713F">
            <w:pPr>
              <w:jc w:val="right"/>
              <w:rPr>
                <w:rFonts w:ascii="Calibri" w:hAnsi="Calibri"/>
                <w:color w:val="000000"/>
              </w:rPr>
            </w:pPr>
            <w:r>
              <w:rPr>
                <w:rFonts w:ascii="Calibri" w:hAnsi="Calibri"/>
                <w:color w:val="000000"/>
              </w:rPr>
              <w:t>20.975 €</w:t>
            </w:r>
          </w:p>
        </w:tc>
      </w:tr>
      <w:tr w:rsidR="006B0993" w:rsidTr="0083713F">
        <w:trPr>
          <w:jc w:val="center"/>
        </w:trPr>
        <w:tc>
          <w:tcPr>
            <w:tcW w:w="3686" w:type="dxa"/>
          </w:tcPr>
          <w:p w:rsidR="006B0993" w:rsidRDefault="006B0993" w:rsidP="0083713F">
            <w:r>
              <w:t>Ταμείο</w:t>
            </w:r>
          </w:p>
        </w:tc>
        <w:tc>
          <w:tcPr>
            <w:tcW w:w="1097" w:type="dxa"/>
            <w:vAlign w:val="bottom"/>
          </w:tcPr>
          <w:p w:rsidR="006B0993" w:rsidRDefault="006B0993" w:rsidP="0083713F">
            <w:pPr>
              <w:jc w:val="right"/>
              <w:rPr>
                <w:rFonts w:ascii="Calibri" w:hAnsi="Calibri"/>
                <w:color w:val="000000"/>
              </w:rPr>
            </w:pPr>
            <w:r>
              <w:rPr>
                <w:rFonts w:ascii="Calibri" w:hAnsi="Calibri"/>
                <w:color w:val="000000"/>
              </w:rPr>
              <w:t>11.384 €</w:t>
            </w:r>
          </w:p>
        </w:tc>
        <w:tc>
          <w:tcPr>
            <w:tcW w:w="3581" w:type="dxa"/>
          </w:tcPr>
          <w:p w:rsidR="006B0993" w:rsidRDefault="006B0993" w:rsidP="0083713F">
            <w:r>
              <w:t>Μηχανήματα</w:t>
            </w:r>
          </w:p>
        </w:tc>
        <w:tc>
          <w:tcPr>
            <w:tcW w:w="1129" w:type="dxa"/>
            <w:vAlign w:val="bottom"/>
          </w:tcPr>
          <w:p w:rsidR="006B0993" w:rsidRDefault="006B0993" w:rsidP="0083713F">
            <w:pPr>
              <w:jc w:val="right"/>
              <w:rPr>
                <w:rFonts w:ascii="Calibri" w:hAnsi="Calibri"/>
                <w:color w:val="000000"/>
              </w:rPr>
            </w:pPr>
            <w:r>
              <w:rPr>
                <w:rFonts w:ascii="Calibri" w:hAnsi="Calibri"/>
                <w:color w:val="000000"/>
              </w:rPr>
              <w:t>222.431 €</w:t>
            </w:r>
          </w:p>
        </w:tc>
      </w:tr>
    </w:tbl>
    <w:p w:rsidR="006B0993" w:rsidRDefault="006B0993" w:rsidP="006B0993">
      <w:pPr>
        <w:spacing w:after="0" w:line="240" w:lineRule="auto"/>
        <w:jc w:val="both"/>
      </w:pPr>
      <w:r>
        <w:t>Κατά τη διάρκεια της λογιστικής χρήσης έλαβαν χώρα τα παρακάτω γεγονότα:</w:t>
      </w:r>
    </w:p>
    <w:p w:rsidR="006B0993" w:rsidRDefault="006B0993" w:rsidP="006B0993">
      <w:pPr>
        <w:pStyle w:val="ListParagraph"/>
        <w:numPr>
          <w:ilvl w:val="0"/>
          <w:numId w:val="1"/>
        </w:numPr>
        <w:spacing w:after="0" w:line="240" w:lineRule="auto"/>
        <w:ind w:left="0" w:hanging="284"/>
        <w:jc w:val="both"/>
      </w:pPr>
      <w:r>
        <w:t>Κατεβλήθησαν αμοιβές προσωπικού  12.000, ενώ οι εργοδοτικές  εισφορές αξίας 3.500 και οι κρατήσεις των εργαζομένων  αξίας 4.000 οφείλονταν στα ασφαλιστικά ταμεία.</w:t>
      </w:r>
      <w:r w:rsidRPr="00B521CB">
        <w:t xml:space="preserve"> </w:t>
      </w:r>
    </w:p>
    <w:p w:rsidR="006B0993" w:rsidRDefault="006B0993" w:rsidP="006B0993">
      <w:pPr>
        <w:pStyle w:val="ListParagraph"/>
        <w:numPr>
          <w:ilvl w:val="0"/>
          <w:numId w:val="1"/>
        </w:numPr>
        <w:spacing w:after="0" w:line="240" w:lineRule="auto"/>
        <w:ind w:left="0" w:hanging="284"/>
        <w:jc w:val="both"/>
      </w:pPr>
      <w:r>
        <w:t>Τα ίδια κεφάλαια αυξήθηκαν με εισφορά των μετόχων αυτοκινήτου αξίας 15.000 και με μετρητά αξίας 25.000</w:t>
      </w:r>
      <w:r w:rsidRPr="001176A7">
        <w:t>.</w:t>
      </w:r>
    </w:p>
    <w:p w:rsidR="006B0993" w:rsidRDefault="006B0993" w:rsidP="006B0993">
      <w:pPr>
        <w:pStyle w:val="ListParagraph"/>
        <w:numPr>
          <w:ilvl w:val="0"/>
          <w:numId w:val="1"/>
        </w:numPr>
        <w:spacing w:after="0" w:line="240" w:lineRule="auto"/>
        <w:ind w:left="0" w:hanging="284"/>
        <w:jc w:val="both"/>
      </w:pPr>
      <w:r>
        <w:t>Αγοράστηκαν έπιπλα αξίας 13.500 τα μισά με μετρητά ενώ για το υπόλοιπο του ποσού υπογράφηκαν γραμμάτια στα οποία προστέθηκαν τόκοι αξίας 2.000</w:t>
      </w:r>
      <w:r w:rsidRPr="001176A7">
        <w:t>.</w:t>
      </w:r>
    </w:p>
    <w:p w:rsidR="006B0993" w:rsidRDefault="006B0993" w:rsidP="006B0993">
      <w:pPr>
        <w:pStyle w:val="ListParagraph"/>
        <w:numPr>
          <w:ilvl w:val="0"/>
          <w:numId w:val="1"/>
        </w:numPr>
        <w:spacing w:after="0" w:line="240" w:lineRule="auto"/>
        <w:ind w:left="0" w:hanging="284"/>
        <w:jc w:val="both"/>
      </w:pPr>
      <w:r>
        <w:t>Πωλήθηκαν εμπορεύματα αξίας 60.000 με είσπραξη μετρητών 30.000 και το υπόλοιπο με υπογραφή γραμμ. εισπρακτέων στα οποία προστέθηκαν τόκοι αξίας 1.000.</w:t>
      </w:r>
    </w:p>
    <w:p w:rsidR="006B0993" w:rsidRDefault="006B0993" w:rsidP="006B0993">
      <w:pPr>
        <w:pStyle w:val="ListParagraph"/>
        <w:numPr>
          <w:ilvl w:val="0"/>
          <w:numId w:val="1"/>
        </w:numPr>
        <w:spacing w:after="0" w:line="240" w:lineRule="auto"/>
        <w:ind w:left="0" w:hanging="284"/>
        <w:jc w:val="both"/>
      </w:pPr>
      <w:r>
        <w:t xml:space="preserve">Η τράπεζα ειδοποίησε την επιχείρηση ότι τα </w:t>
      </w:r>
      <w:proofErr w:type="spellStart"/>
      <w:r>
        <w:t>προεξοφληθέντα</w:t>
      </w:r>
      <w:proofErr w:type="spellEnd"/>
      <w:r>
        <w:t xml:space="preserve"> γραμμάτια εξοφλήθηκαν από τον οφειλέτη τους.</w:t>
      </w:r>
    </w:p>
    <w:p w:rsidR="006B0993" w:rsidRDefault="006B0993" w:rsidP="006B0993">
      <w:pPr>
        <w:pStyle w:val="ListParagraph"/>
        <w:numPr>
          <w:ilvl w:val="0"/>
          <w:numId w:val="1"/>
        </w:numPr>
        <w:spacing w:after="0" w:line="240" w:lineRule="auto"/>
        <w:ind w:left="0" w:hanging="284"/>
        <w:jc w:val="both"/>
      </w:pPr>
      <w:r>
        <w:t>Αυτοκίνητο της επιχείρησης λογιστικής αξίας 10.000 καταστράφηκε σε ατύχημα. Η ασφαλιστική εταιρία αναγνώρισε το 90% της καταστροφής πάνω στην αγοραία αξία που είναι 6.000 και ειδοποίησε ότι θα τακτοποιήσει το θέμα στις 12 Ιανουαρίου του επόμενου έτους. Η επιχείρηση προχώρησε σε αγορά μεταχειρισμένου αυτοκινήτου αξίας 10.000 το οποίο και εξόφλησε το 4.600 με μετρητά, ενώ συμφωνήθηκε ότι το υπόλοιπο θα καταβληθεί μετά την είσπραξη των απαιτήσεων που έχει η επιχείρηση από την ασφαλιστική εταιρεία λόγο καταστροφής του αυτοκινήτου, χωρίς τόκο.</w:t>
      </w:r>
    </w:p>
    <w:p w:rsidR="006B0993" w:rsidRDefault="006B0993" w:rsidP="006B0993">
      <w:pPr>
        <w:pStyle w:val="ListParagraph"/>
        <w:numPr>
          <w:ilvl w:val="0"/>
          <w:numId w:val="1"/>
        </w:numPr>
        <w:spacing w:after="0" w:line="240" w:lineRule="auto"/>
        <w:ind w:left="0" w:hanging="284"/>
        <w:jc w:val="both"/>
      </w:pPr>
      <w:r>
        <w:t>Προεξοφλήθη</w:t>
      </w:r>
      <w:r w:rsidR="00EE7E5F">
        <w:t>καν γραμμ. εισπρακτέα αξίας 2.5</w:t>
      </w:r>
      <w:r>
        <w:t>00 έναντι 2.300.</w:t>
      </w:r>
    </w:p>
    <w:p w:rsidR="006B0993" w:rsidRPr="00FA3402" w:rsidRDefault="006B0993" w:rsidP="006B0993">
      <w:pPr>
        <w:spacing w:after="0" w:line="240" w:lineRule="auto"/>
        <w:jc w:val="both"/>
        <w:rPr>
          <w:sz w:val="16"/>
          <w:szCs w:val="16"/>
        </w:rPr>
      </w:pPr>
    </w:p>
    <w:p w:rsidR="006B0993" w:rsidRDefault="006B0993" w:rsidP="006B0993">
      <w:pPr>
        <w:spacing w:after="0" w:line="240" w:lineRule="auto"/>
        <w:jc w:val="both"/>
      </w:pPr>
      <w:r>
        <w:t>Ζητείται:</w:t>
      </w:r>
    </w:p>
    <w:p w:rsidR="006B0993" w:rsidRDefault="006B0993" w:rsidP="006B0993">
      <w:pPr>
        <w:spacing w:after="0" w:line="240" w:lineRule="auto"/>
        <w:jc w:val="both"/>
      </w:pPr>
      <w:r>
        <w:t xml:space="preserve">Α. Να προσδιοριστούν με ημερολογιακές εγγραφές τα αποτελέσματα εκμετάλλευσης και χρήσης, αφού ληφθούν υπόψη ότι κατά την απογραφή του τέλους χρήσης τα εμπορεύματα που συνολικά ανήκαν στην επιχείρηση ήταν 45.000, οι κρατήσεις και οι εργοδοτικές εισφορές πληρωτέες εξοφλήθηκαν, τα </w:t>
      </w:r>
      <w:proofErr w:type="spellStart"/>
      <w:r>
        <w:t>προπληρωθέντα</w:t>
      </w:r>
      <w:proofErr w:type="spellEnd"/>
      <w:r>
        <w:t xml:space="preserve"> ασφάλιστρα κατέστησαν δεδουλευμένα, τα αναλώσιμα μηχανολογικού εξοπλισμού ήταν 17.000 και η γραφική ύλη 4.000.</w:t>
      </w:r>
    </w:p>
    <w:p w:rsidR="006B0993" w:rsidRDefault="006B0993" w:rsidP="006B0993">
      <w:pPr>
        <w:spacing w:after="0" w:line="240" w:lineRule="auto"/>
        <w:jc w:val="both"/>
      </w:pPr>
      <w:r>
        <w:t>Β. Ποια η αξία των Ι.Κ. στο τέλος της χρήσης δεδομένου ότι δεν γίνεται διάθεση των κερδών.</w:t>
      </w:r>
    </w:p>
    <w:p w:rsidR="00D44D2F" w:rsidRDefault="00D44D2F"/>
    <w:sectPr w:rsidR="00D44D2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D6572"/>
    <w:multiLevelType w:val="hybridMultilevel"/>
    <w:tmpl w:val="8A1826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993"/>
    <w:rsid w:val="006B0993"/>
    <w:rsid w:val="00B1750B"/>
    <w:rsid w:val="00C679C3"/>
    <w:rsid w:val="00D44D2F"/>
    <w:rsid w:val="00EE7E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9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993"/>
    <w:pPr>
      <w:ind w:left="720"/>
      <w:contextualSpacing/>
    </w:pPr>
  </w:style>
  <w:style w:type="table" w:styleId="TableGrid">
    <w:name w:val="Table Grid"/>
    <w:basedOn w:val="TableNormal"/>
    <w:uiPriority w:val="59"/>
    <w:rsid w:val="006B09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9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993"/>
    <w:pPr>
      <w:ind w:left="720"/>
      <w:contextualSpacing/>
    </w:pPr>
  </w:style>
  <w:style w:type="table" w:styleId="TableGrid">
    <w:name w:val="Table Grid"/>
    <w:basedOn w:val="TableNormal"/>
    <w:uiPriority w:val="59"/>
    <w:rsid w:val="006B09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Evangelos I. Poutos</dc:creator>
  <cp:lastModifiedBy>Maria</cp:lastModifiedBy>
  <cp:revision>2</cp:revision>
  <dcterms:created xsi:type="dcterms:W3CDTF">2017-05-31T10:03:00Z</dcterms:created>
  <dcterms:modified xsi:type="dcterms:W3CDTF">2017-05-31T10:03:00Z</dcterms:modified>
</cp:coreProperties>
</file>